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F830B">
      <w:pPr>
        <w:keepNext w:val="0"/>
        <w:keepLines w:val="0"/>
        <w:pageBreakBefore w:val="0"/>
        <w:widowControl/>
        <w:kinsoku/>
        <w:wordWrap/>
        <w:overflowPunct/>
        <w:topLinePunct w:val="0"/>
        <w:autoSpaceDE/>
        <w:autoSpaceDN/>
        <w:bidi w:val="0"/>
        <w:spacing w:line="240" w:lineRule="auto"/>
        <w:jc w:val="both"/>
        <w:rPr>
          <w:rFonts w:hint="eastAsia" w:ascii="黑体" w:hAnsi="黑体" w:eastAsia="黑体" w:cs="黑体"/>
          <w:b/>
          <w:bCs w:val="0"/>
          <w:sz w:val="32"/>
          <w:szCs w:val="32"/>
          <w:highlight w:val="none"/>
          <w:lang w:val="en-US" w:eastAsia="zh-CN"/>
        </w:rPr>
      </w:pPr>
      <w:r>
        <w:rPr>
          <w:rFonts w:hint="eastAsia" w:ascii="黑体" w:hAnsi="黑体" w:eastAsia="黑体" w:cs="黑体"/>
          <w:bCs/>
          <w:sz w:val="32"/>
          <w:szCs w:val="32"/>
          <w:highlight w:val="none"/>
          <w:lang w:val="en-US" w:eastAsia="zh-CN"/>
        </w:rPr>
        <w:t>附件1</w:t>
      </w:r>
    </w:p>
    <w:tbl>
      <w:tblPr>
        <w:tblStyle w:val="6"/>
        <w:tblW w:w="15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020"/>
        <w:gridCol w:w="948"/>
        <w:gridCol w:w="1475"/>
        <w:gridCol w:w="654"/>
        <w:gridCol w:w="5096"/>
        <w:gridCol w:w="2687"/>
        <w:gridCol w:w="1100"/>
        <w:gridCol w:w="2075"/>
      </w:tblGrid>
      <w:tr w14:paraId="6078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blHeader/>
        </w:trPr>
        <w:tc>
          <w:tcPr>
            <w:tcW w:w="15527" w:type="dxa"/>
            <w:gridSpan w:val="9"/>
            <w:tcBorders>
              <w:top w:val="nil"/>
              <w:left w:val="nil"/>
              <w:bottom w:val="single" w:color="auto" w:sz="4" w:space="0"/>
              <w:right w:val="nil"/>
            </w:tcBorders>
            <w:noWrap/>
            <w:vAlign w:val="center"/>
          </w:tcPr>
          <w:p w14:paraId="556E62EE">
            <w:pPr>
              <w:keepNext w:val="0"/>
              <w:keepLines w:val="0"/>
              <w:pageBreakBefore w:val="0"/>
              <w:widowControl/>
              <w:kinsoku/>
              <w:wordWrap/>
              <w:overflowPunct/>
              <w:topLinePunct w:val="0"/>
              <w:autoSpaceDE/>
              <w:autoSpaceDN/>
              <w:bidi w:val="0"/>
              <w:spacing w:line="240" w:lineRule="auto"/>
              <w:jc w:val="center"/>
              <w:rPr>
                <w:rFonts w:hint="eastAsia" w:ascii="仿宋" w:hAnsi="仿宋" w:eastAsia="仿宋" w:cs="仿宋"/>
                <w:b/>
                <w:bCs/>
                <w:sz w:val="20"/>
                <w:szCs w:val="20"/>
                <w:highlight w:val="none"/>
              </w:rPr>
            </w:pPr>
            <w:r>
              <w:rPr>
                <w:rFonts w:hint="eastAsia" w:ascii="微软雅黑" w:hAnsi="仿宋" w:eastAsia="微软雅黑"/>
                <w:bCs/>
                <w:sz w:val="44"/>
                <w:szCs w:val="44"/>
                <w:highlight w:val="none"/>
                <w:lang w:val="en-US" w:eastAsia="zh-CN"/>
              </w:rPr>
              <w:t>黔南民族师范学院首批</w:t>
            </w:r>
            <w:r>
              <w:rPr>
                <w:rFonts w:hint="eastAsia" w:ascii="微软雅黑" w:hAnsi="仿宋" w:eastAsia="微软雅黑"/>
                <w:bCs/>
                <w:sz w:val="44"/>
                <w:szCs w:val="44"/>
                <w:highlight w:val="none"/>
              </w:rPr>
              <w:t>拟招聘产业</w:t>
            </w:r>
            <w:r>
              <w:rPr>
                <w:rFonts w:hint="eastAsia" w:ascii="微软雅黑" w:hAnsi="仿宋" w:eastAsia="微软雅黑"/>
                <w:bCs/>
                <w:sz w:val="44"/>
                <w:szCs w:val="44"/>
                <w:highlight w:val="none"/>
                <w:lang w:val="en-US" w:eastAsia="zh-CN"/>
              </w:rPr>
              <w:t>兼职教师</w:t>
            </w:r>
            <w:r>
              <w:rPr>
                <w:rFonts w:hint="eastAsia" w:ascii="微软雅黑" w:hAnsi="仿宋" w:eastAsia="微软雅黑"/>
                <w:bCs/>
                <w:sz w:val="44"/>
                <w:szCs w:val="44"/>
                <w:highlight w:val="none"/>
              </w:rPr>
              <w:t>岗位需求表</w:t>
            </w:r>
          </w:p>
        </w:tc>
      </w:tr>
      <w:tr w14:paraId="75B0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trPr>
        <w:tc>
          <w:tcPr>
            <w:tcW w:w="472" w:type="dxa"/>
            <w:tcBorders>
              <w:top w:val="single" w:color="auto" w:sz="4" w:space="0"/>
              <w:bottom w:val="single" w:color="auto" w:sz="4" w:space="0"/>
            </w:tcBorders>
            <w:noWrap/>
            <w:vAlign w:val="center"/>
          </w:tcPr>
          <w:p w14:paraId="6DDC275B">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序号</w:t>
            </w:r>
          </w:p>
        </w:tc>
        <w:tc>
          <w:tcPr>
            <w:tcW w:w="1020" w:type="dxa"/>
            <w:tcBorders>
              <w:top w:val="single" w:color="auto" w:sz="4" w:space="0"/>
              <w:bottom w:val="single" w:color="auto" w:sz="4" w:space="0"/>
            </w:tcBorders>
            <w:noWrap/>
            <w:vAlign w:val="center"/>
          </w:tcPr>
          <w:p w14:paraId="4C2C278D">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lang w:val="en-US" w:eastAsia="zh-CN"/>
              </w:rPr>
              <w:t>聘任单位</w:t>
            </w:r>
          </w:p>
        </w:tc>
        <w:tc>
          <w:tcPr>
            <w:tcW w:w="948" w:type="dxa"/>
            <w:tcBorders>
              <w:top w:val="single" w:color="auto" w:sz="4" w:space="0"/>
              <w:bottom w:val="single" w:color="auto" w:sz="4" w:space="0"/>
            </w:tcBorders>
            <w:noWrap/>
            <w:vAlign w:val="center"/>
          </w:tcPr>
          <w:p w14:paraId="3E6D015E">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岗位名称</w:t>
            </w:r>
          </w:p>
        </w:tc>
        <w:tc>
          <w:tcPr>
            <w:tcW w:w="1475" w:type="dxa"/>
            <w:tcBorders>
              <w:top w:val="single" w:color="auto" w:sz="4" w:space="0"/>
              <w:bottom w:val="single" w:color="auto" w:sz="4" w:space="0"/>
            </w:tcBorders>
            <w:noWrap/>
            <w:vAlign w:val="center"/>
          </w:tcPr>
          <w:p w14:paraId="718D8F95">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研究方向</w:t>
            </w:r>
          </w:p>
        </w:tc>
        <w:tc>
          <w:tcPr>
            <w:tcW w:w="654" w:type="dxa"/>
            <w:tcBorders>
              <w:top w:val="single" w:color="auto" w:sz="4" w:space="0"/>
              <w:bottom w:val="single" w:color="auto" w:sz="4" w:space="0"/>
            </w:tcBorders>
            <w:noWrap/>
            <w:vAlign w:val="center"/>
          </w:tcPr>
          <w:p w14:paraId="3B0B8773">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lang w:val="en-US" w:eastAsia="zh-CN"/>
              </w:rPr>
              <w:t>聘任</w:t>
            </w:r>
            <w:r>
              <w:rPr>
                <w:rFonts w:hint="eastAsia" w:ascii="仿宋" w:hAnsi="仿宋" w:eastAsia="仿宋" w:cs="仿宋"/>
                <w:b/>
                <w:bCs/>
                <w:sz w:val="20"/>
                <w:szCs w:val="20"/>
                <w:highlight w:val="none"/>
              </w:rPr>
              <w:t>数量</w:t>
            </w:r>
          </w:p>
        </w:tc>
        <w:tc>
          <w:tcPr>
            <w:tcW w:w="5096" w:type="dxa"/>
            <w:tcBorders>
              <w:top w:val="single" w:color="auto" w:sz="4" w:space="0"/>
              <w:bottom w:val="single" w:color="auto" w:sz="4" w:space="0"/>
            </w:tcBorders>
            <w:noWrap/>
            <w:vAlign w:val="center"/>
          </w:tcPr>
          <w:p w14:paraId="41F9731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岗位职责简述</w:t>
            </w:r>
          </w:p>
        </w:tc>
        <w:tc>
          <w:tcPr>
            <w:tcW w:w="2687" w:type="dxa"/>
            <w:tcBorders>
              <w:top w:val="single" w:color="auto" w:sz="4" w:space="0"/>
              <w:bottom w:val="single" w:color="auto" w:sz="4" w:space="0"/>
            </w:tcBorders>
            <w:noWrap/>
            <w:vAlign w:val="center"/>
          </w:tcPr>
          <w:p w14:paraId="5FC8B0A9">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专业指导要求</w:t>
            </w:r>
          </w:p>
        </w:tc>
        <w:tc>
          <w:tcPr>
            <w:tcW w:w="1100" w:type="dxa"/>
            <w:tcBorders>
              <w:top w:val="single" w:color="auto" w:sz="4" w:space="0"/>
              <w:bottom w:val="single" w:color="auto" w:sz="4" w:space="0"/>
            </w:tcBorders>
            <w:noWrap/>
            <w:vAlign w:val="center"/>
          </w:tcPr>
          <w:p w14:paraId="50C8280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对应领域</w:t>
            </w:r>
          </w:p>
        </w:tc>
        <w:tc>
          <w:tcPr>
            <w:tcW w:w="2075" w:type="dxa"/>
            <w:tcBorders>
              <w:top w:val="single" w:color="auto" w:sz="4" w:space="0"/>
              <w:bottom w:val="single" w:color="auto" w:sz="4" w:space="0"/>
            </w:tcBorders>
            <w:vAlign w:val="center"/>
          </w:tcPr>
          <w:p w14:paraId="36D336D4">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lang w:val="en-US" w:eastAsia="zh-CN"/>
              </w:rPr>
            </w:pPr>
            <w:r>
              <w:rPr>
                <w:rFonts w:hint="eastAsia" w:ascii="仿宋" w:hAnsi="仿宋" w:eastAsia="仿宋" w:cs="仿宋"/>
                <w:b/>
                <w:bCs/>
                <w:sz w:val="20"/>
                <w:szCs w:val="20"/>
                <w:highlight w:val="none"/>
              </w:rPr>
              <w:t>产业</w:t>
            </w:r>
            <w:r>
              <w:rPr>
                <w:rFonts w:hint="eastAsia" w:ascii="仿宋" w:hAnsi="仿宋" w:eastAsia="仿宋" w:cs="仿宋"/>
                <w:b/>
                <w:bCs/>
                <w:sz w:val="20"/>
                <w:szCs w:val="20"/>
                <w:highlight w:val="none"/>
                <w:lang w:val="en-US" w:eastAsia="zh-CN"/>
              </w:rPr>
              <w:t>兼职教师</w:t>
            </w:r>
          </w:p>
          <w:p w14:paraId="79544B8D">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来源</w:t>
            </w:r>
          </w:p>
        </w:tc>
      </w:tr>
      <w:tr w14:paraId="4271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1" w:hRule="atLeast"/>
        </w:trPr>
        <w:tc>
          <w:tcPr>
            <w:tcW w:w="472" w:type="dxa"/>
            <w:noWrap/>
            <w:vAlign w:val="center"/>
          </w:tcPr>
          <w:p w14:paraId="454DE696">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1</w:t>
            </w:r>
          </w:p>
        </w:tc>
        <w:tc>
          <w:tcPr>
            <w:tcW w:w="1020" w:type="dxa"/>
            <w:noWrap/>
            <w:vAlign w:val="center"/>
          </w:tcPr>
          <w:p w14:paraId="25063AB1">
            <w:pPr>
              <w:keepNext w:val="0"/>
              <w:keepLines w:val="0"/>
              <w:pageBreakBefore w:val="0"/>
              <w:widowControl/>
              <w:kinsoku/>
              <w:wordWrap/>
              <w:overflowPunct/>
              <w:topLinePunct w:val="0"/>
              <w:autoSpaceDE/>
              <w:autoSpaceDN/>
              <w:bidi w:val="0"/>
              <w:spacing w:line="240" w:lineRule="exac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黔南民族师范学院化学化工学院</w:t>
            </w:r>
          </w:p>
        </w:tc>
        <w:tc>
          <w:tcPr>
            <w:tcW w:w="948" w:type="dxa"/>
            <w:noWrap/>
            <w:vAlign w:val="center"/>
          </w:tcPr>
          <w:p w14:paraId="20CA1699">
            <w:pPr>
              <w:keepNext w:val="0"/>
              <w:keepLines w:val="0"/>
              <w:pageBreakBefore w:val="0"/>
              <w:widowControl/>
              <w:kinsoku/>
              <w:wordWrap/>
              <w:overflowPunct/>
              <w:topLinePunct w:val="0"/>
              <w:autoSpaceDE/>
              <w:autoSpaceDN/>
              <w:bidi w:val="0"/>
              <w:spacing w:line="240" w:lineRule="exac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化工专业产业兼职教师</w:t>
            </w:r>
          </w:p>
        </w:tc>
        <w:tc>
          <w:tcPr>
            <w:tcW w:w="1475" w:type="dxa"/>
            <w:noWrap/>
            <w:vAlign w:val="center"/>
          </w:tcPr>
          <w:p w14:paraId="64DF91C3">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磷化工</w:t>
            </w:r>
            <w:r>
              <w:rPr>
                <w:rFonts w:hint="eastAsia" w:ascii="仿宋" w:hAnsi="仿宋" w:eastAsia="仿宋" w:cs="仿宋"/>
                <w:sz w:val="20"/>
                <w:szCs w:val="20"/>
                <w:highlight w:val="none"/>
              </w:rPr>
              <w:t>资源绿色转化催化</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硫磷钛铁资源耦合与精深加工</w:t>
            </w:r>
          </w:p>
        </w:tc>
        <w:tc>
          <w:tcPr>
            <w:tcW w:w="654" w:type="dxa"/>
            <w:noWrap/>
            <w:vAlign w:val="center"/>
          </w:tcPr>
          <w:p w14:paraId="1376E1CA">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w:t>
            </w:r>
          </w:p>
        </w:tc>
        <w:tc>
          <w:tcPr>
            <w:tcW w:w="5096" w:type="dxa"/>
            <w:noWrap/>
            <w:vAlign w:val="center"/>
          </w:tcPr>
          <w:p w14:paraId="0FF92976">
            <w:pPr>
              <w:keepNext w:val="0"/>
              <w:keepLines w:val="0"/>
              <w:pageBreakBefore w:val="0"/>
              <w:widowControl/>
              <w:kinsoku/>
              <w:wordWrap/>
              <w:overflowPunct/>
              <w:topLinePunct w:val="0"/>
              <w:autoSpaceDE/>
              <w:autoSpaceDN/>
              <w:bidi w:val="0"/>
              <w:spacing w:line="240" w:lineRule="exact"/>
              <w:ind w:firstLine="400" w:firstLineChars="200"/>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参与学校化工等学科团队建设，推动所在企业与高校联合开展磷化工</w:t>
            </w:r>
            <w:r>
              <w:rPr>
                <w:rFonts w:hint="eastAsia" w:ascii="仿宋" w:hAnsi="仿宋" w:eastAsia="仿宋" w:cs="仿宋"/>
                <w:sz w:val="20"/>
                <w:szCs w:val="20"/>
                <w:highlight w:val="none"/>
              </w:rPr>
              <w:t>资源</w:t>
            </w:r>
            <w:r>
              <w:rPr>
                <w:rFonts w:hint="eastAsia" w:ascii="仿宋" w:hAnsi="仿宋" w:eastAsia="仿宋" w:cs="仿宋"/>
                <w:sz w:val="20"/>
                <w:szCs w:val="20"/>
                <w:highlight w:val="none"/>
                <w:lang w:val="en-US" w:eastAsia="zh-CN"/>
              </w:rPr>
              <w:t>利用相关研究，推动</w:t>
            </w:r>
            <w:r>
              <w:rPr>
                <w:rFonts w:hint="eastAsia" w:ascii="仿宋" w:hAnsi="仿宋" w:eastAsia="仿宋" w:cs="仿宋"/>
                <w:sz w:val="20"/>
                <w:szCs w:val="20"/>
                <w:highlight w:val="none"/>
              </w:rPr>
              <w:t>贵州省资源绿色转化催化材料全省重点实验室</w:t>
            </w:r>
            <w:r>
              <w:rPr>
                <w:rFonts w:hint="eastAsia" w:ascii="仿宋" w:hAnsi="仿宋" w:eastAsia="仿宋" w:cs="仿宋"/>
                <w:sz w:val="20"/>
                <w:szCs w:val="20"/>
                <w:highlight w:val="none"/>
                <w:lang w:val="en-US" w:eastAsia="zh-CN"/>
              </w:rPr>
              <w:t>和贵州省硫磷钛铁资源耦合与精深加工关键技术研究创新中心等省级平台建设</w:t>
            </w:r>
            <w:r>
              <w:rPr>
                <w:rFonts w:hint="eastAsia" w:ascii="仿宋" w:hAnsi="仿宋" w:eastAsia="仿宋" w:cs="仿宋"/>
                <w:color w:val="3B3838" w:themeColor="background2" w:themeShade="40"/>
                <w:sz w:val="20"/>
                <w:szCs w:val="20"/>
                <w:highlight w:val="none"/>
              </w:rPr>
              <w:t>，积极转化高科技创新成果，推动所在企业成为高校教学和实习基地，创造条件吸纳高校毕业生就业。</w:t>
            </w:r>
          </w:p>
        </w:tc>
        <w:tc>
          <w:tcPr>
            <w:tcW w:w="2687" w:type="dxa"/>
            <w:noWrap/>
            <w:vAlign w:val="center"/>
          </w:tcPr>
          <w:p w14:paraId="4BFD9EFD">
            <w:pPr>
              <w:keepNext w:val="0"/>
              <w:keepLines w:val="0"/>
              <w:pageBreakBefore w:val="0"/>
              <w:widowControl/>
              <w:numPr>
                <w:ilvl w:val="0"/>
                <w:numId w:val="0"/>
              </w:numPr>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1.具有化工专业背景；</w:t>
            </w:r>
          </w:p>
          <w:p w14:paraId="24E2C20B">
            <w:pPr>
              <w:keepNext w:val="0"/>
              <w:keepLines w:val="0"/>
              <w:pageBreakBefore w:val="0"/>
              <w:widowControl/>
              <w:numPr>
                <w:ilvl w:val="0"/>
                <w:numId w:val="0"/>
              </w:numPr>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2.具有培训学生所需的化工实践场所和设备；</w:t>
            </w:r>
          </w:p>
          <w:p w14:paraId="2A6AF324">
            <w:pPr>
              <w:keepNext w:val="0"/>
              <w:keepLines w:val="0"/>
              <w:pageBreakBefore w:val="0"/>
              <w:widowControl/>
              <w:numPr>
                <w:ilvl w:val="0"/>
                <w:numId w:val="0"/>
              </w:numPr>
              <w:kinsoku/>
              <w:wordWrap/>
              <w:overflowPunct/>
              <w:topLinePunct w:val="0"/>
              <w:autoSpaceDE/>
              <w:autoSpaceDN/>
              <w:bidi w:val="0"/>
              <w:spacing w:line="240" w:lineRule="exact"/>
              <w:rPr>
                <w:rFonts w:hint="default"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3.具有5年以上企业一线研发或管理从业经历。</w:t>
            </w:r>
          </w:p>
        </w:tc>
        <w:tc>
          <w:tcPr>
            <w:tcW w:w="1100" w:type="dxa"/>
            <w:noWrap/>
            <w:vAlign w:val="center"/>
          </w:tcPr>
          <w:p w14:paraId="6731E7E5">
            <w:pPr>
              <w:keepNext w:val="0"/>
              <w:keepLines w:val="0"/>
              <w:pageBreakBefore w:val="0"/>
              <w:widowControl/>
              <w:kinsoku/>
              <w:wordWrap/>
              <w:overflowPunct/>
              <w:topLinePunct w:val="0"/>
              <w:autoSpaceDE/>
              <w:autoSpaceDN/>
              <w:bidi w:val="0"/>
              <w:spacing w:line="240" w:lineRule="exact"/>
              <w:textAlignment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优势矿产资源精深加工、新能源新材料</w:t>
            </w:r>
          </w:p>
        </w:tc>
        <w:tc>
          <w:tcPr>
            <w:tcW w:w="2075" w:type="dxa"/>
            <w:vAlign w:val="center"/>
          </w:tcPr>
          <w:p w14:paraId="552FB64A">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sz w:val="20"/>
                <w:szCs w:val="20"/>
                <w:highlight w:val="none"/>
                <w:lang w:eastAsia="zh-CN"/>
              </w:rPr>
            </w:pPr>
            <w:r>
              <w:rPr>
                <w:rFonts w:hint="eastAsia" w:ascii="仿宋" w:hAnsi="仿宋" w:eastAsia="仿宋" w:cs="仿宋"/>
                <w:color w:val="3B3838" w:themeColor="background2" w:themeShade="40"/>
                <w:sz w:val="20"/>
                <w:szCs w:val="20"/>
                <w:highlight w:val="none"/>
              </w:rPr>
              <w:t>科研院所；中职、高职院校；大型国有企业；大型民营企业；工程技术在国内外有影响的企业</w:t>
            </w:r>
            <w:r>
              <w:rPr>
                <w:rFonts w:hint="eastAsia" w:ascii="仿宋" w:hAnsi="仿宋" w:eastAsia="仿宋" w:cs="仿宋"/>
                <w:color w:val="3B3838" w:themeColor="background2" w:themeShade="40"/>
                <w:sz w:val="20"/>
                <w:szCs w:val="20"/>
                <w:highlight w:val="none"/>
                <w:lang w:eastAsia="zh-CN"/>
              </w:rPr>
              <w:t>。</w:t>
            </w:r>
          </w:p>
        </w:tc>
      </w:tr>
      <w:tr w14:paraId="49EA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noWrap/>
            <w:vAlign w:val="center"/>
          </w:tcPr>
          <w:p w14:paraId="5C8129D7">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2</w:t>
            </w:r>
          </w:p>
        </w:tc>
        <w:tc>
          <w:tcPr>
            <w:tcW w:w="1020" w:type="dxa"/>
            <w:shd w:val="clear" w:color="auto" w:fill="auto"/>
            <w:noWrap/>
            <w:vAlign w:val="center"/>
          </w:tcPr>
          <w:p w14:paraId="2589E553">
            <w:pPr>
              <w:keepNext w:val="0"/>
              <w:keepLines w:val="0"/>
              <w:pageBreakBefore w:val="0"/>
              <w:widowControl/>
              <w:kinsoku/>
              <w:wordWrap/>
              <w:overflowPunct/>
              <w:topLinePunct w:val="0"/>
              <w:autoSpaceDE/>
              <w:autoSpaceDN/>
              <w:bidi w:val="0"/>
              <w:spacing w:line="240" w:lineRule="exact"/>
              <w:rPr>
                <w:rFonts w:hint="default" w:ascii="仿宋" w:hAnsi="仿宋" w:eastAsia="仿宋" w:cs="仿宋"/>
                <w:kern w:val="2"/>
                <w:sz w:val="20"/>
                <w:szCs w:val="20"/>
                <w:highlight w:val="none"/>
                <w:lang w:val="en-US" w:eastAsia="zh-TW" w:bidi="ar-SA"/>
              </w:rPr>
            </w:pPr>
            <w:r>
              <w:rPr>
                <w:rFonts w:hint="eastAsia" w:ascii="仿宋" w:hAnsi="仿宋" w:eastAsia="仿宋" w:cs="仿宋"/>
                <w:sz w:val="20"/>
                <w:szCs w:val="20"/>
                <w:highlight w:val="none"/>
                <w:lang w:val="en-US" w:eastAsia="zh-CN"/>
              </w:rPr>
              <w:t>黔南民族师范学院旅游与资源环境学院</w:t>
            </w:r>
          </w:p>
        </w:tc>
        <w:tc>
          <w:tcPr>
            <w:tcW w:w="948" w:type="dxa"/>
            <w:shd w:val="clear" w:color="auto" w:fill="auto"/>
            <w:noWrap/>
            <w:vAlign w:val="center"/>
          </w:tcPr>
          <w:p w14:paraId="13880021">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旅游管理产业导师</w:t>
            </w:r>
          </w:p>
        </w:tc>
        <w:tc>
          <w:tcPr>
            <w:tcW w:w="1475" w:type="dxa"/>
            <w:shd w:val="clear" w:color="auto" w:fill="auto"/>
            <w:noWrap/>
            <w:vAlign w:val="center"/>
          </w:tcPr>
          <w:p w14:paraId="1A003C7E">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旅游经济、旅游产业化</w:t>
            </w:r>
          </w:p>
        </w:tc>
        <w:tc>
          <w:tcPr>
            <w:tcW w:w="654" w:type="dxa"/>
            <w:shd w:val="clear" w:color="auto" w:fill="auto"/>
            <w:noWrap/>
            <w:vAlign w:val="center"/>
          </w:tcPr>
          <w:p w14:paraId="3F3C20CB">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1</w:t>
            </w:r>
          </w:p>
        </w:tc>
        <w:tc>
          <w:tcPr>
            <w:tcW w:w="5096" w:type="dxa"/>
            <w:shd w:val="clear" w:color="auto" w:fill="auto"/>
            <w:noWrap/>
            <w:vAlign w:val="center"/>
          </w:tcPr>
          <w:p w14:paraId="27C6E80E">
            <w:pPr>
              <w:keepNext w:val="0"/>
              <w:keepLines w:val="0"/>
              <w:pageBreakBefore w:val="0"/>
              <w:widowControl/>
              <w:kinsoku/>
              <w:wordWrap/>
              <w:overflowPunct/>
              <w:topLinePunct w:val="0"/>
              <w:autoSpaceDE/>
              <w:autoSpaceDN/>
              <w:bidi w:val="0"/>
              <w:spacing w:line="240" w:lineRule="exact"/>
              <w:ind w:firstLine="400" w:firstLineChars="200"/>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参与学院旅游管理学科团队建设，推动所在旅游企业与学院联合开展旅游规划、文旅融合、乡村旅游开发等相关科研项目研究，承担学院科研成果的市场转化和实践应用基地建设，积极将前沿旅游研究成果转化为产业发展动力，推动所在企业成为学院旅游管理专业教学和实习基地，创造条件吸纳学院旅游管理专业毕业生就业。</w:t>
            </w:r>
          </w:p>
        </w:tc>
        <w:tc>
          <w:tcPr>
            <w:tcW w:w="2687" w:type="dxa"/>
            <w:shd w:val="clear" w:color="auto" w:fill="auto"/>
            <w:noWrap/>
            <w:vAlign w:val="center"/>
          </w:tcPr>
          <w:p w14:paraId="51BBE8A4">
            <w:pPr>
              <w:keepNext w:val="0"/>
              <w:keepLines w:val="0"/>
              <w:pageBreakBefore w:val="0"/>
              <w:widowControl/>
              <w:numPr>
                <w:ilvl w:val="0"/>
                <w:numId w:val="0"/>
              </w:numPr>
              <w:kinsoku/>
              <w:wordWrap/>
              <w:overflowPunct/>
              <w:topLinePunct w:val="0"/>
              <w:autoSpaceDE/>
              <w:autoSpaceDN/>
              <w:bidi w:val="0"/>
              <w:spacing w:line="240" w:lineRule="exact"/>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1.具备旅游管理、经济学、管理学等专业背景：</w:t>
            </w:r>
          </w:p>
          <w:p w14:paraId="3ED46C9B">
            <w:pPr>
              <w:keepNext w:val="0"/>
              <w:keepLines w:val="0"/>
              <w:pageBreakBefore w:val="0"/>
              <w:widowControl/>
              <w:numPr>
                <w:ilvl w:val="0"/>
                <w:numId w:val="0"/>
              </w:numPr>
              <w:kinsoku/>
              <w:wordWrap/>
              <w:overflowPunct/>
              <w:topLinePunct w:val="0"/>
              <w:autoSpaceDE/>
              <w:autoSpaceDN/>
              <w:bidi w:val="0"/>
              <w:spacing w:line="240" w:lineRule="exact"/>
              <w:ind w:left="0" w:leftChars="0" w:firstLine="0" w:firstLineChars="0"/>
              <w:rPr>
                <w:rFonts w:hint="eastAsia" w:ascii="仿宋" w:hAnsi="仿宋" w:eastAsia="仿宋" w:cs="仿宋"/>
                <w:kern w:val="2"/>
                <w:sz w:val="20"/>
                <w:szCs w:val="20"/>
                <w:highlight w:val="none"/>
                <w:lang w:val="zh-TW" w:eastAsia="zh-TW" w:bidi="ar-SA"/>
              </w:rPr>
            </w:pPr>
            <w:r>
              <w:rPr>
                <w:rFonts w:hint="eastAsia" w:ascii="仿宋" w:hAnsi="仿宋" w:eastAsia="仿宋" w:cs="仿宋"/>
                <w:sz w:val="20"/>
                <w:szCs w:val="20"/>
                <w:highlight w:val="none"/>
                <w:lang w:val="en-US" w:eastAsia="zh-CN"/>
              </w:rPr>
              <w:t>2.具备培训学生所需的科研场所、实践设备及科研经费：</w:t>
            </w:r>
            <w:r>
              <w:rPr>
                <w:rFonts w:hint="eastAsia" w:ascii="仿宋" w:hAnsi="仿宋" w:eastAsia="仿宋" w:cs="仿宋"/>
                <w:sz w:val="20"/>
                <w:szCs w:val="20"/>
                <w:highlight w:val="none"/>
                <w:lang w:val="en-US" w:eastAsia="zh-CN"/>
              </w:rPr>
              <w:br w:type="textWrapping"/>
            </w:r>
            <w:r>
              <w:rPr>
                <w:rFonts w:hint="eastAsia" w:ascii="仿宋" w:hAnsi="仿宋" w:eastAsia="仿宋" w:cs="仿宋"/>
                <w:sz w:val="20"/>
                <w:szCs w:val="20"/>
                <w:highlight w:val="none"/>
                <w:lang w:val="en-US" w:eastAsia="zh-CN"/>
              </w:rPr>
              <w:t>3.具有副高以上职称或大型企业高级管理职务</w:t>
            </w:r>
          </w:p>
        </w:tc>
        <w:tc>
          <w:tcPr>
            <w:tcW w:w="1100" w:type="dxa"/>
            <w:shd w:val="clear" w:color="auto" w:fill="auto"/>
            <w:noWrap/>
            <w:vAlign w:val="center"/>
          </w:tcPr>
          <w:p w14:paraId="327E2295">
            <w:pPr>
              <w:keepNext w:val="0"/>
              <w:keepLines w:val="0"/>
              <w:pageBreakBefore w:val="0"/>
              <w:widowControl/>
              <w:kinsoku/>
              <w:wordWrap/>
              <w:overflowPunct/>
              <w:topLinePunct w:val="0"/>
              <w:autoSpaceDE/>
              <w:autoSpaceDN/>
              <w:bidi w:val="0"/>
              <w:spacing w:line="240" w:lineRule="exact"/>
              <w:textAlignment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旅游产业化</w:t>
            </w:r>
          </w:p>
        </w:tc>
        <w:tc>
          <w:tcPr>
            <w:tcW w:w="2075" w:type="dxa"/>
            <w:shd w:val="clear" w:color="auto" w:fill="auto"/>
            <w:vAlign w:val="center"/>
          </w:tcPr>
          <w:p w14:paraId="7B210BE7">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color w:val="3B3838" w:themeColor="background2" w:themeShade="40"/>
                <w:sz w:val="20"/>
                <w:szCs w:val="20"/>
                <w:highlight w:val="none"/>
              </w:rPr>
              <w:t>科研院所；中职、高职院校；大型国有企业；大型民营企业；工程技术在国内外有影响的企业</w:t>
            </w:r>
            <w:r>
              <w:rPr>
                <w:rFonts w:hint="eastAsia" w:ascii="仿宋" w:hAnsi="仿宋" w:eastAsia="仿宋" w:cs="仿宋"/>
                <w:color w:val="3B3838" w:themeColor="background2" w:themeShade="40"/>
                <w:sz w:val="20"/>
                <w:szCs w:val="20"/>
                <w:highlight w:val="none"/>
                <w:lang w:eastAsia="zh-CN"/>
              </w:rPr>
              <w:t>。</w:t>
            </w:r>
          </w:p>
        </w:tc>
      </w:tr>
      <w:tr w14:paraId="76D2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noWrap/>
            <w:vAlign w:val="center"/>
          </w:tcPr>
          <w:p w14:paraId="5ACFD68C">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3</w:t>
            </w:r>
          </w:p>
        </w:tc>
        <w:tc>
          <w:tcPr>
            <w:tcW w:w="1020" w:type="dxa"/>
            <w:shd w:val="clear"/>
            <w:noWrap/>
            <w:vAlign w:val="center"/>
          </w:tcPr>
          <w:p w14:paraId="29A59CFA">
            <w:pPr>
              <w:widowControl/>
              <w:spacing w:line="240" w:lineRule="exact"/>
              <w:rPr>
                <w:rFonts w:hint="default" w:ascii="仿宋" w:hAnsi="仿宋" w:eastAsia="仿宋" w:cs="仿宋"/>
                <w:kern w:val="2"/>
                <w:sz w:val="20"/>
                <w:szCs w:val="20"/>
                <w:lang w:val="en-US" w:eastAsia="zh-CN" w:bidi="ar-SA"/>
              </w:rPr>
            </w:pPr>
            <w:r>
              <w:rPr>
                <w:rFonts w:hint="eastAsia" w:ascii="仿宋" w:hAnsi="仿宋" w:eastAsia="仿宋" w:cs="仿宋"/>
                <w:sz w:val="20"/>
                <w:szCs w:val="20"/>
              </w:rPr>
              <w:t>黔南民族师范学院</w:t>
            </w:r>
            <w:r>
              <w:rPr>
                <w:rFonts w:hint="eastAsia" w:ascii="仿宋" w:hAnsi="仿宋" w:eastAsia="仿宋" w:cs="仿宋"/>
                <w:sz w:val="20"/>
                <w:szCs w:val="20"/>
                <w:lang w:val="en-US" w:eastAsia="zh-CN"/>
              </w:rPr>
              <w:t>生物科学与农学院</w:t>
            </w:r>
          </w:p>
        </w:tc>
        <w:tc>
          <w:tcPr>
            <w:tcW w:w="948" w:type="dxa"/>
            <w:shd w:val="clear"/>
            <w:noWrap/>
            <w:vAlign w:val="center"/>
          </w:tcPr>
          <w:p w14:paraId="37139786">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rPr>
              <w:t>茶学专业产业兼职教师</w:t>
            </w:r>
          </w:p>
        </w:tc>
        <w:tc>
          <w:tcPr>
            <w:tcW w:w="1475" w:type="dxa"/>
            <w:shd w:val="clear"/>
            <w:noWrap/>
            <w:vAlign w:val="center"/>
          </w:tcPr>
          <w:p w14:paraId="44579A0B">
            <w:pPr>
              <w:widowControl/>
              <w:spacing w:line="240" w:lineRule="exact"/>
              <w:rPr>
                <w:rFonts w:hint="eastAsia" w:ascii="仿宋" w:hAnsi="仿宋" w:eastAsia="仿宋" w:cs="仿宋"/>
                <w:kern w:val="2"/>
                <w:sz w:val="20"/>
                <w:szCs w:val="20"/>
                <w:lang w:val="en-US" w:eastAsia="zh-CN" w:bidi="ar-SA"/>
              </w:rPr>
            </w:pPr>
            <w:r>
              <w:rPr>
                <w:rFonts w:ascii="仿宋" w:hAnsi="仿宋" w:eastAsia="仿宋" w:cs="仿宋"/>
                <w:sz w:val="20"/>
                <w:szCs w:val="20"/>
              </w:rPr>
              <w:t>茶树育种、生态种植</w:t>
            </w:r>
            <w:r>
              <w:rPr>
                <w:rFonts w:hint="eastAsia" w:ascii="仿宋" w:hAnsi="仿宋" w:eastAsia="仿宋" w:cs="仿宋"/>
                <w:sz w:val="20"/>
                <w:szCs w:val="20"/>
              </w:rPr>
              <w:t>、</w:t>
            </w:r>
            <w:r>
              <w:rPr>
                <w:rFonts w:ascii="仿宋" w:hAnsi="仿宋" w:eastAsia="仿宋" w:cs="仿宋"/>
                <w:sz w:val="20"/>
                <w:szCs w:val="20"/>
              </w:rPr>
              <w:t>茶叶加工、智慧茶业</w:t>
            </w:r>
          </w:p>
        </w:tc>
        <w:tc>
          <w:tcPr>
            <w:tcW w:w="654" w:type="dxa"/>
            <w:shd w:val="clear"/>
            <w:noWrap/>
            <w:vAlign w:val="center"/>
          </w:tcPr>
          <w:p w14:paraId="1C025ABE">
            <w:pPr>
              <w:widowControl/>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1</w:t>
            </w:r>
          </w:p>
        </w:tc>
        <w:tc>
          <w:tcPr>
            <w:tcW w:w="5096" w:type="dxa"/>
            <w:shd w:val="clear"/>
            <w:noWrap/>
            <w:vAlign w:val="center"/>
          </w:tcPr>
          <w:p w14:paraId="4276096C">
            <w:pPr>
              <w:widowControl/>
              <w:spacing w:line="240" w:lineRule="exact"/>
              <w:ind w:firstLine="400" w:firstLineChars="200"/>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参与高校学科团队、茶学专业和智慧农业技术专业建设，</w:t>
            </w:r>
            <w:r>
              <w:rPr>
                <w:rFonts w:hint="eastAsia" w:ascii="仿宋" w:hAnsi="仿宋" w:eastAsia="仿宋" w:cs="仿宋"/>
                <w:color w:val="3B3838" w:themeColor="background2" w:themeShade="40"/>
                <w:sz w:val="20"/>
                <w:szCs w:val="20"/>
              </w:rPr>
              <w:t>推动所在企业与高校联合开展茶学相关科研项目研究，承担高校科研成果中试放大和产业化基地建设，积极转化高科技创新成果，推动所在企业成为高校教学和实习基地，创造条件吸纳高校毕业生就业。</w:t>
            </w:r>
          </w:p>
        </w:tc>
        <w:tc>
          <w:tcPr>
            <w:tcW w:w="2687" w:type="dxa"/>
            <w:shd w:val="clear"/>
            <w:noWrap/>
            <w:vAlign w:val="center"/>
          </w:tcPr>
          <w:p w14:paraId="6250FD49">
            <w:pPr>
              <w:widowControl/>
              <w:spacing w:line="240" w:lineRule="exact"/>
              <w:rPr>
                <w:rFonts w:hint="eastAsia" w:ascii="仿宋" w:hAnsi="仿宋" w:eastAsia="仿宋" w:cs="仿宋"/>
                <w:color w:val="3B3838" w:themeColor="background2" w:themeShade="40"/>
                <w:sz w:val="20"/>
                <w:szCs w:val="20"/>
              </w:rPr>
            </w:pPr>
            <w:r>
              <w:rPr>
                <w:rFonts w:hint="eastAsia" w:ascii="仿宋" w:hAnsi="仿宋" w:eastAsia="仿宋" w:cs="仿宋"/>
                <w:color w:val="3B3838" w:themeColor="background2" w:themeShade="40"/>
                <w:sz w:val="20"/>
                <w:szCs w:val="20"/>
              </w:rPr>
              <w:t>1.具有农学专业背景；</w:t>
            </w:r>
          </w:p>
          <w:p w14:paraId="79483FD4">
            <w:pPr>
              <w:widowControl/>
              <w:spacing w:line="240" w:lineRule="exact"/>
              <w:rPr>
                <w:rFonts w:hint="eastAsia" w:ascii="仿宋" w:hAnsi="仿宋" w:eastAsia="仿宋" w:cs="仿宋"/>
                <w:color w:val="3B3838" w:themeColor="background2" w:themeShade="40"/>
                <w:sz w:val="20"/>
                <w:szCs w:val="20"/>
              </w:rPr>
            </w:pPr>
            <w:r>
              <w:rPr>
                <w:rFonts w:hint="eastAsia" w:ascii="仿宋" w:hAnsi="仿宋" w:eastAsia="仿宋" w:cs="仿宋"/>
                <w:color w:val="3B3838" w:themeColor="background2" w:themeShade="40"/>
                <w:sz w:val="20"/>
                <w:szCs w:val="20"/>
              </w:rPr>
              <w:t>2.具有培训学生所需的科研场所，仪器设备及科研经费；</w:t>
            </w:r>
          </w:p>
          <w:p w14:paraId="3E0E13E8">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color w:val="3B3838" w:themeColor="background2" w:themeShade="40"/>
                <w:sz w:val="20"/>
                <w:szCs w:val="20"/>
              </w:rPr>
              <w:t>3.具有副高以上职称。</w:t>
            </w:r>
          </w:p>
        </w:tc>
        <w:tc>
          <w:tcPr>
            <w:tcW w:w="1100" w:type="dxa"/>
            <w:shd w:val="clear"/>
            <w:noWrap/>
            <w:vAlign w:val="center"/>
          </w:tcPr>
          <w:p w14:paraId="67683999">
            <w:pPr>
              <w:widowControl/>
              <w:spacing w:line="240" w:lineRule="exact"/>
              <w:textAlignment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农业</w:t>
            </w:r>
          </w:p>
        </w:tc>
        <w:tc>
          <w:tcPr>
            <w:tcW w:w="2075" w:type="dxa"/>
            <w:shd w:val="clear"/>
            <w:vAlign w:val="center"/>
          </w:tcPr>
          <w:p w14:paraId="7FEC657D">
            <w:pPr>
              <w:widowControl/>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color w:val="3B3838" w:themeColor="background2" w:themeShade="40"/>
                <w:sz w:val="20"/>
                <w:szCs w:val="20"/>
              </w:rPr>
              <w:t>科研院所；高职院校；大型国有企业；大型民营企业；工程技术在国内外有影响的企业。</w:t>
            </w:r>
          </w:p>
        </w:tc>
      </w:tr>
      <w:tr w14:paraId="66BA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472" w:type="dxa"/>
            <w:shd w:val="clear"/>
            <w:noWrap/>
            <w:vAlign w:val="center"/>
          </w:tcPr>
          <w:p w14:paraId="7B556F3B">
            <w:pPr>
              <w:widowControl/>
              <w:spacing w:line="24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1020" w:type="dxa"/>
            <w:shd w:val="clear"/>
            <w:noWrap/>
            <w:vAlign w:val="center"/>
          </w:tcPr>
          <w:p w14:paraId="572ED502">
            <w:pPr>
              <w:keepNext w:val="0"/>
              <w:keepLines w:val="0"/>
              <w:pageBreakBefore w:val="0"/>
              <w:widowControl/>
              <w:kinsoku/>
              <w:wordWrap/>
              <w:overflowPunct/>
              <w:topLinePunct w:val="0"/>
              <w:autoSpaceDE/>
              <w:autoSpaceDN/>
              <w:bidi w:val="0"/>
              <w:spacing w:line="240" w:lineRule="exact"/>
              <w:rPr>
                <w:rFonts w:hint="default"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黔南民族师范学院</w:t>
            </w:r>
            <w:r>
              <w:rPr>
                <w:rFonts w:hint="eastAsia" w:ascii="仿宋" w:hAnsi="仿宋" w:eastAsia="仿宋" w:cs="仿宋"/>
                <w:sz w:val="20"/>
                <w:szCs w:val="20"/>
                <w:highlight w:val="none"/>
                <w:lang w:val="en-US" w:eastAsia="zh-CN"/>
              </w:rPr>
              <w:t>计算机与信息学院</w:t>
            </w:r>
          </w:p>
        </w:tc>
        <w:tc>
          <w:tcPr>
            <w:tcW w:w="948" w:type="dxa"/>
            <w:shd w:val="clear"/>
            <w:noWrap/>
            <w:vAlign w:val="center"/>
          </w:tcPr>
          <w:p w14:paraId="5BD5B49B">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计算机专业</w:t>
            </w:r>
            <w:r>
              <w:rPr>
                <w:rFonts w:hint="default" w:ascii="仿宋" w:hAnsi="仿宋" w:eastAsia="仿宋" w:cs="仿宋"/>
                <w:sz w:val="20"/>
                <w:szCs w:val="20"/>
                <w:highlight w:val="none"/>
                <w:lang w:val="en-US" w:eastAsia="zh-CN"/>
              </w:rPr>
              <w:t>产业</w:t>
            </w:r>
            <w:r>
              <w:rPr>
                <w:rFonts w:hint="eastAsia" w:ascii="仿宋" w:hAnsi="仿宋" w:eastAsia="仿宋" w:cs="仿宋"/>
                <w:sz w:val="20"/>
                <w:szCs w:val="20"/>
                <w:highlight w:val="none"/>
                <w:lang w:val="en-US" w:eastAsia="zh-CN"/>
              </w:rPr>
              <w:t>讲师</w:t>
            </w:r>
            <w:bookmarkStart w:id="0" w:name="_GoBack"/>
            <w:bookmarkEnd w:id="0"/>
          </w:p>
        </w:tc>
        <w:tc>
          <w:tcPr>
            <w:tcW w:w="1475" w:type="dxa"/>
            <w:shd w:val="clear"/>
            <w:noWrap/>
            <w:vAlign w:val="center"/>
          </w:tcPr>
          <w:p w14:paraId="52DA53F5">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计算机科学与技术、人工智能、大数据应用</w:t>
            </w:r>
          </w:p>
        </w:tc>
        <w:tc>
          <w:tcPr>
            <w:tcW w:w="654" w:type="dxa"/>
            <w:shd w:val="clear"/>
            <w:noWrap/>
            <w:vAlign w:val="center"/>
          </w:tcPr>
          <w:p w14:paraId="218FF1EE">
            <w:pPr>
              <w:keepNext w:val="0"/>
              <w:keepLines w:val="0"/>
              <w:pageBreakBefore w:val="0"/>
              <w:widowControl/>
              <w:kinsoku/>
              <w:wordWrap/>
              <w:overflowPunct/>
              <w:topLinePunct w:val="0"/>
              <w:autoSpaceDE/>
              <w:autoSpaceDN/>
              <w:bidi w:val="0"/>
              <w:spacing w:line="240" w:lineRule="exact"/>
              <w:jc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lang w:val="en-US" w:eastAsia="zh-CN"/>
              </w:rPr>
              <w:t>3</w:t>
            </w:r>
          </w:p>
        </w:tc>
        <w:tc>
          <w:tcPr>
            <w:tcW w:w="5096" w:type="dxa"/>
            <w:shd w:val="clear"/>
            <w:noWrap/>
            <w:vAlign w:val="center"/>
          </w:tcPr>
          <w:p w14:paraId="26F1C344">
            <w:pPr>
              <w:keepNext w:val="0"/>
              <w:keepLines w:val="0"/>
              <w:pageBreakBefore w:val="0"/>
              <w:widowControl/>
              <w:kinsoku/>
              <w:wordWrap/>
              <w:overflowPunct/>
              <w:topLinePunct w:val="0"/>
              <w:autoSpaceDE/>
              <w:autoSpaceDN/>
              <w:bidi w:val="0"/>
              <w:spacing w:line="240" w:lineRule="exact"/>
              <w:ind w:firstLine="400" w:firstLineChars="200"/>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 xml:space="preserve"> 参与学院计算机、人工智能等专业人才培养方案与课程体系建设； 承担实践教学、项目指导、创新创业训练等任务；开展校企协同育人，指导学生参与专业竞赛与实践项目；推动产学研合作，助力学科建设与地方产业技术服务。</w:t>
            </w:r>
          </w:p>
        </w:tc>
        <w:tc>
          <w:tcPr>
            <w:tcW w:w="2687" w:type="dxa"/>
            <w:shd w:val="clear"/>
            <w:noWrap/>
            <w:vAlign w:val="center"/>
          </w:tcPr>
          <w:p w14:paraId="32FF40C8">
            <w:pPr>
              <w:keepNext w:val="0"/>
              <w:keepLines w:val="0"/>
              <w:pageBreakBefore w:val="0"/>
              <w:widowControl/>
              <w:numPr>
                <w:ilvl w:val="0"/>
                <w:numId w:val="0"/>
              </w:numPr>
              <w:kinsoku/>
              <w:wordWrap/>
              <w:overflowPunct/>
              <w:topLinePunct w:val="0"/>
              <w:autoSpaceDE/>
              <w:autoSpaceDN/>
              <w:bidi w:val="0"/>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1. 具有</w:t>
            </w:r>
            <w:r>
              <w:rPr>
                <w:rFonts w:hint="eastAsia" w:ascii="仿宋" w:hAnsi="仿宋" w:eastAsia="仿宋" w:cs="仿宋"/>
                <w:sz w:val="20"/>
                <w:szCs w:val="20"/>
                <w:highlight w:val="none"/>
                <w:lang w:val="en-US" w:eastAsia="zh-CN"/>
              </w:rPr>
              <w:t>本科</w:t>
            </w:r>
            <w:r>
              <w:rPr>
                <w:rFonts w:hint="eastAsia" w:ascii="仿宋" w:hAnsi="仿宋" w:eastAsia="仿宋" w:cs="仿宋"/>
                <w:sz w:val="20"/>
                <w:szCs w:val="20"/>
                <w:highlight w:val="none"/>
              </w:rPr>
              <w:t>及以上学历，计算机、人工智能、大数据等相关专业背景；</w:t>
            </w:r>
          </w:p>
          <w:p w14:paraId="496CAB70">
            <w:pPr>
              <w:keepNext w:val="0"/>
              <w:keepLines w:val="0"/>
              <w:pageBreakBefore w:val="0"/>
              <w:widowControl/>
              <w:numPr>
                <w:ilvl w:val="0"/>
                <w:numId w:val="0"/>
              </w:numPr>
              <w:kinsoku/>
              <w:wordWrap/>
              <w:overflowPunct/>
              <w:topLinePunct w:val="0"/>
              <w:autoSpaceDE/>
              <w:autoSpaceDN/>
              <w:bidi w:val="0"/>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2. 具有 5 年以上企业或行业一线工作经验，具备扎实的专业能力与项目实践经验；</w:t>
            </w:r>
          </w:p>
          <w:p w14:paraId="24977BD2">
            <w:pPr>
              <w:keepNext w:val="0"/>
              <w:keepLines w:val="0"/>
              <w:pageBreakBefore w:val="0"/>
              <w:widowControl/>
              <w:numPr>
                <w:ilvl w:val="0"/>
                <w:numId w:val="0"/>
              </w:numPr>
              <w:kinsoku/>
              <w:wordWrap/>
              <w:overflowPunct/>
              <w:topLinePunct w:val="0"/>
              <w:autoSpaceDE/>
              <w:autoSpaceDN/>
              <w:bidi w:val="0"/>
              <w:spacing w:line="240" w:lineRule="exact"/>
              <w:rPr>
                <w:rFonts w:hint="eastAsia" w:ascii="仿宋" w:hAnsi="仿宋" w:eastAsia="仿宋" w:cs="仿宋"/>
                <w:sz w:val="20"/>
                <w:szCs w:val="20"/>
                <w:highlight w:val="none"/>
              </w:rPr>
            </w:pPr>
            <w:r>
              <w:rPr>
                <w:rFonts w:hint="eastAsia" w:ascii="仿宋" w:hAnsi="仿宋" w:eastAsia="仿宋" w:cs="仿宋"/>
                <w:sz w:val="20"/>
                <w:szCs w:val="20"/>
                <w:highlight w:val="none"/>
              </w:rPr>
              <w:t>3. 熟悉行业前沿技术与产业发展趋势，能将行业资源引入教学与科研；</w:t>
            </w:r>
          </w:p>
          <w:p w14:paraId="2CACC7D2">
            <w:pPr>
              <w:keepNext w:val="0"/>
              <w:keepLines w:val="0"/>
              <w:pageBreakBefore w:val="0"/>
              <w:widowControl/>
              <w:numPr>
                <w:ilvl w:val="0"/>
                <w:numId w:val="0"/>
              </w:numPr>
              <w:kinsoku/>
              <w:wordWrap/>
              <w:overflowPunct/>
              <w:topLinePunct w:val="0"/>
              <w:autoSpaceDE/>
              <w:autoSpaceDN/>
              <w:bidi w:val="0"/>
              <w:spacing w:line="240" w:lineRule="exact"/>
              <w:ind w:left="0" w:leftChars="0" w:firstLine="0" w:firstLineChars="0"/>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4. 具备良好的沟通协调与教学指导能力，乐于参与高校人才培养工作。</w:t>
            </w:r>
          </w:p>
        </w:tc>
        <w:tc>
          <w:tcPr>
            <w:tcW w:w="1100" w:type="dxa"/>
            <w:shd w:val="clear"/>
            <w:noWrap/>
            <w:vAlign w:val="center"/>
          </w:tcPr>
          <w:p w14:paraId="05D5E98B">
            <w:pPr>
              <w:keepNext w:val="0"/>
              <w:keepLines w:val="0"/>
              <w:pageBreakBefore w:val="0"/>
              <w:widowControl/>
              <w:kinsoku/>
              <w:wordWrap/>
              <w:overflowPunct/>
              <w:topLinePunct w:val="0"/>
              <w:autoSpaceDE/>
              <w:autoSpaceDN/>
              <w:bidi w:val="0"/>
              <w:spacing w:line="240" w:lineRule="exact"/>
              <w:textAlignment w:val="center"/>
              <w:rPr>
                <w:rFonts w:hint="eastAsia" w:ascii="仿宋" w:hAnsi="仿宋" w:eastAsia="仿宋" w:cs="仿宋"/>
                <w:kern w:val="2"/>
                <w:sz w:val="20"/>
                <w:szCs w:val="20"/>
                <w:highlight w:val="none"/>
                <w:lang w:val="en-US" w:eastAsia="zh-CN" w:bidi="ar-SA"/>
              </w:rPr>
            </w:pPr>
            <w:r>
              <w:rPr>
                <w:rFonts w:hint="eastAsia" w:ascii="仿宋" w:hAnsi="仿宋" w:eastAsia="仿宋" w:cs="仿宋"/>
                <w:sz w:val="20"/>
                <w:szCs w:val="20"/>
                <w:highlight w:val="none"/>
              </w:rPr>
              <w:t>大数据电子信息产业、数字经济产业</w:t>
            </w:r>
          </w:p>
        </w:tc>
        <w:tc>
          <w:tcPr>
            <w:tcW w:w="2075" w:type="dxa"/>
            <w:shd w:val="clear"/>
            <w:vAlign w:val="center"/>
          </w:tcPr>
          <w:p w14:paraId="379F36A8">
            <w:pPr>
              <w:keepNext w:val="0"/>
              <w:keepLines w:val="0"/>
              <w:pageBreakBefore w:val="0"/>
              <w:widowControl/>
              <w:kinsoku/>
              <w:wordWrap/>
              <w:overflowPunct/>
              <w:topLinePunct w:val="0"/>
              <w:autoSpaceDE/>
              <w:autoSpaceDN/>
              <w:bidi w:val="0"/>
              <w:spacing w:line="240" w:lineRule="exact"/>
              <w:rPr>
                <w:rFonts w:hint="eastAsia" w:ascii="仿宋" w:hAnsi="仿宋" w:eastAsia="仿宋" w:cs="仿宋"/>
                <w:kern w:val="2"/>
                <w:sz w:val="20"/>
                <w:szCs w:val="20"/>
                <w:highlight w:val="none"/>
                <w:lang w:val="en-US" w:eastAsia="zh-CN" w:bidi="ar-SA"/>
              </w:rPr>
            </w:pPr>
            <w:r>
              <w:rPr>
                <w:rFonts w:hint="eastAsia" w:ascii="仿宋" w:hAnsi="仿宋" w:eastAsia="仿宋" w:cs="仿宋"/>
                <w:color w:val="3B3838" w:themeColor="background2" w:themeShade="40"/>
                <w:sz w:val="20"/>
                <w:szCs w:val="20"/>
              </w:rPr>
              <w:t>科研院所；高职院校；大型国有企业；大型民营企业；工程技术在国内外有影响的企业。</w:t>
            </w:r>
          </w:p>
        </w:tc>
      </w:tr>
    </w:tbl>
    <w:p w14:paraId="5B39AEBE">
      <w:pPr>
        <w:rPr>
          <w:highlight w:val="red"/>
        </w:rPr>
      </w:pPr>
    </w:p>
    <w:sectPr>
      <w:pgSz w:w="16838" w:h="11906" w:orient="landscape"/>
      <w:pgMar w:top="663" w:right="720" w:bottom="96"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1286B0-E52E-41F3-BACA-88497F1FCC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47D3E957-2AC2-45EB-9052-461E7C71CBC3}"/>
  </w:font>
  <w:font w:name="微软雅黑">
    <w:panose1 w:val="020B0503020204020204"/>
    <w:charset w:val="86"/>
    <w:family w:val="auto"/>
    <w:pitch w:val="default"/>
    <w:sig w:usb0="80000287" w:usb1="2ACF3C50" w:usb2="00000016" w:usb3="00000000" w:csb0="0004001F" w:csb1="00000000"/>
    <w:embedRegular r:id="rId3" w:fontKey="{ABB82886-AAB5-4BFE-8028-0BA69B3E206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TIzMGNiNmZhMTIyOTliZDQ1NzE3MWZjOWYxODMifQ=="/>
  </w:docVars>
  <w:rsids>
    <w:rsidRoot w:val="00000000"/>
    <w:rsid w:val="01F86F46"/>
    <w:rsid w:val="031E070A"/>
    <w:rsid w:val="06283AFF"/>
    <w:rsid w:val="0C127CFF"/>
    <w:rsid w:val="0C9C007A"/>
    <w:rsid w:val="0D7FC965"/>
    <w:rsid w:val="0FD05D32"/>
    <w:rsid w:val="0FEF03CB"/>
    <w:rsid w:val="146E19D3"/>
    <w:rsid w:val="172D3193"/>
    <w:rsid w:val="1B5F428C"/>
    <w:rsid w:val="1B9301EB"/>
    <w:rsid w:val="1B98239B"/>
    <w:rsid w:val="1F7DE730"/>
    <w:rsid w:val="23861508"/>
    <w:rsid w:val="23DD252D"/>
    <w:rsid w:val="257366CB"/>
    <w:rsid w:val="25A808D8"/>
    <w:rsid w:val="25DD5BFC"/>
    <w:rsid w:val="279D5475"/>
    <w:rsid w:val="284103DF"/>
    <w:rsid w:val="2E0E71B7"/>
    <w:rsid w:val="2F9737EB"/>
    <w:rsid w:val="2FFED60D"/>
    <w:rsid w:val="301F1C90"/>
    <w:rsid w:val="34D01ABE"/>
    <w:rsid w:val="351152BA"/>
    <w:rsid w:val="37C71829"/>
    <w:rsid w:val="3A8C0AFF"/>
    <w:rsid w:val="3B990CAA"/>
    <w:rsid w:val="3CE259C8"/>
    <w:rsid w:val="3DC9686C"/>
    <w:rsid w:val="402B0819"/>
    <w:rsid w:val="42B73A14"/>
    <w:rsid w:val="42B905DF"/>
    <w:rsid w:val="441E480B"/>
    <w:rsid w:val="45B440C0"/>
    <w:rsid w:val="467E3C34"/>
    <w:rsid w:val="4B3A5416"/>
    <w:rsid w:val="4BCB57E7"/>
    <w:rsid w:val="4BE9453B"/>
    <w:rsid w:val="4D4F1492"/>
    <w:rsid w:val="4DCF4817"/>
    <w:rsid w:val="4E555E2E"/>
    <w:rsid w:val="50B62A94"/>
    <w:rsid w:val="56EB4C1E"/>
    <w:rsid w:val="5781530D"/>
    <w:rsid w:val="57D50A25"/>
    <w:rsid w:val="5C6544E0"/>
    <w:rsid w:val="5E7F9A78"/>
    <w:rsid w:val="5FDB6306"/>
    <w:rsid w:val="60176451"/>
    <w:rsid w:val="61BC7A87"/>
    <w:rsid w:val="639F1557"/>
    <w:rsid w:val="63CB559F"/>
    <w:rsid w:val="64882F59"/>
    <w:rsid w:val="64FB0FAB"/>
    <w:rsid w:val="66B362C2"/>
    <w:rsid w:val="67191D4F"/>
    <w:rsid w:val="6C862B57"/>
    <w:rsid w:val="6FFAE6EB"/>
    <w:rsid w:val="72F719E9"/>
    <w:rsid w:val="74EDDC8B"/>
    <w:rsid w:val="770A2760"/>
    <w:rsid w:val="777D4863"/>
    <w:rsid w:val="78C5192F"/>
    <w:rsid w:val="7AD7E3A5"/>
    <w:rsid w:val="7AF6E232"/>
    <w:rsid w:val="7BBE14AF"/>
    <w:rsid w:val="7BD141FB"/>
    <w:rsid w:val="7C0219AB"/>
    <w:rsid w:val="7C95228A"/>
    <w:rsid w:val="7DFB12E0"/>
    <w:rsid w:val="7E37CD54"/>
    <w:rsid w:val="7E7F1A5D"/>
    <w:rsid w:val="7EDB397A"/>
    <w:rsid w:val="7EFE1975"/>
    <w:rsid w:val="7F7FDF7B"/>
    <w:rsid w:val="7FB203AC"/>
    <w:rsid w:val="7FB74B56"/>
    <w:rsid w:val="7FBF94B9"/>
    <w:rsid w:val="7FF5039D"/>
    <w:rsid w:val="7FFE6351"/>
    <w:rsid w:val="9F7E5F35"/>
    <w:rsid w:val="ADBBDBA2"/>
    <w:rsid w:val="AFFF3477"/>
    <w:rsid w:val="BAEFC99A"/>
    <w:rsid w:val="BFEB0964"/>
    <w:rsid w:val="BFF61F21"/>
    <w:rsid w:val="C1D6209B"/>
    <w:rsid w:val="CBA7B157"/>
    <w:rsid w:val="DC2F6E0C"/>
    <w:rsid w:val="DEFF71E6"/>
    <w:rsid w:val="DF7B9B6C"/>
    <w:rsid w:val="F67FC0DD"/>
    <w:rsid w:val="F6DBAC22"/>
    <w:rsid w:val="FCEFCB79"/>
    <w:rsid w:val="FCFF0E9E"/>
    <w:rsid w:val="FDC4E5DB"/>
    <w:rsid w:val="FDF684B6"/>
    <w:rsid w:val="FEEFC5B3"/>
    <w:rsid w:val="FF7F898E"/>
    <w:rsid w:val="FF7FB88F"/>
    <w:rsid w:val="FFD77DD0"/>
    <w:rsid w:val="FFEF194E"/>
    <w:rsid w:val="FFFCC547"/>
    <w:rsid w:val="FFFFB951"/>
    <w:rsid w:val="FFFFF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pPr>
    <w:rPr>
      <w:rFonts w:ascii="Calibri" w:hAnsi="Calibri" w:eastAsia="Calibri" w:cs="Calibri"/>
      <w:color w:val="000000"/>
      <w:sz w:val="24"/>
      <w:szCs w:val="24"/>
      <w:u w:val="none" w:color="000000"/>
      <w:lang w:val="en-US" w:eastAsia="zh-CN" w:bidi="ar-SA"/>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670</Words>
  <Characters>676</Characters>
  <Lines>0</Lines>
  <Paragraphs>0</Paragraphs>
  <TotalTime>3</TotalTime>
  <ScaleCrop>false</ScaleCrop>
  <LinksUpToDate>false</LinksUpToDate>
  <CharactersWithSpaces>676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2020-09-03T15:15:00Z</dcterms:created>
  <dc:creator>Administrator</dc:creator>
  <cp:lastModifiedBy>GODIVA</cp:lastModifiedBy>
  <cp:lastPrinted>2026-03-13T07:59:10Z</cp:lastPrinted>
  <dcterms:modified xsi:type="dcterms:W3CDTF">2026-03-13T08:37:34Z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DDFE2E1786DC46E1B6217A1F19314FF6_13</vt:lpwstr>
  </property>
  <property fmtid="{D5CDD505-2E9C-101B-9397-08002B2CF9AE}" pid="4" name="KSOTemplateDocerSaveRecord">
    <vt:lpwstr>eyJoZGlkIjoiODhlZjFmN2VhODdiMWNlOTFmNTQzZjhlZjgwYTA3MjkiLCJ1c2VySWQiOiIyNTczMDgxOTMifQ==</vt:lpwstr>
  </property>
</Properties>
</file>