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  <w:r>
        <w:rPr>
          <w:rFonts w:hint="eastAsia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 w:val="0"/>
          <w:bCs/>
          <w:sz w:val="28"/>
          <w:szCs w:val="28"/>
        </w:rPr>
        <w:t xml:space="preserve"> 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b w:val="0"/>
          <w:bCs/>
          <w:sz w:val="24"/>
          <w:szCs w:val="28"/>
        </w:rPr>
      </w:pPr>
      <w:r>
        <w:rPr>
          <w:rFonts w:ascii="Times New Roman" w:hAnsi="Times New Roman" w:eastAsia="方正小标宋简体"/>
          <w:b w:val="0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1.均应到指定医院进行体检，其他医疗单位的检查结果一律无效。</w:t>
      </w:r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7.请配合医生认真检查所有项目，勿漏检。若自动放弃某一检查项目，将会影响对您的录用。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 w:val="0"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b w:val="0"/>
          <w:bCs/>
          <w:sz w:val="32"/>
          <w:szCs w:val="36"/>
        </w:rPr>
        <w:t>特别提醒</w:t>
      </w:r>
      <w:r>
        <w:rPr>
          <w:rFonts w:hint="eastAsia" w:eastAsia="黑体"/>
          <w:b w:val="0"/>
          <w:bCs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b w:val="0"/>
          <w:bCs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b w:val="0"/>
          <w:bCs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6"/>
        </w:rPr>
      </w:pPr>
      <w:r>
        <w:rPr>
          <w:rFonts w:ascii="Times New Roman" w:hAnsi="Times New Roman" w:eastAsia="仿宋_GB2312"/>
          <w:b w:val="0"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 w:val="0"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 w:val="0"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6"/>
          <w:lang w:val="en-US" w:eastAsia="zh-CN" w:bidi="ar-SA"/>
        </w:rPr>
        <w:t>7.怀孕考生请自带营养早餐，相关体检项目结束后可根据医生提示就餐，其他考生根据自身情况自行决定是否自带早餐。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 w:eastAsia="仿宋_GB2312" w:cs="Times New Roman"/>
          <w:b w:val="0"/>
          <w:bCs/>
          <w:kern w:val="2"/>
          <w:sz w:val="32"/>
          <w:szCs w:val="36"/>
          <w:lang w:val="en-US" w:eastAsia="zh-CN" w:bidi="ar-SA"/>
        </w:rPr>
      </w:pPr>
    </w:p>
    <w:p w14:paraId="0D900A52">
      <w:pPr>
        <w:rPr>
          <w:rFonts w:ascii="Times New Roman" w:hAnsi="Times New Roman" w:eastAsia="仿宋_GB2312" w:cs="Times New Roman"/>
          <w:b w:val="0"/>
          <w:bCs/>
          <w:kern w:val="2"/>
          <w:sz w:val="32"/>
          <w:szCs w:val="36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5AF21501"/>
    <w:rsid w:val="6D31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5</TotalTime>
  <ScaleCrop>false</ScaleCrop>
  <LinksUpToDate>false</LinksUpToDate>
  <CharactersWithSpaces>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dcterms:modified xsi:type="dcterms:W3CDTF">2026-06-18T03:21:45Z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